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596" w:rsidRDefault="00A57257"/>
    <w:p w:rsidR="00257F47" w:rsidRDefault="00257F47" w:rsidP="00257F47">
      <w:pPr>
        <w:rPr>
          <w:rFonts w:ascii="Calibri" w:hAnsi="Calibri" w:cs="Calibri"/>
          <w:b/>
          <w:bCs/>
        </w:rPr>
      </w:pPr>
      <w:r>
        <w:rPr>
          <w:rFonts w:ascii="Calibri" w:hAnsi="Calibri" w:cs="Calibri"/>
          <w:b/>
          <w:bCs/>
        </w:rPr>
        <w:t xml:space="preserve">Session </w:t>
      </w:r>
      <w:r w:rsidR="007B02ED">
        <w:rPr>
          <w:rFonts w:ascii="Calibri" w:hAnsi="Calibri" w:cs="Calibri"/>
          <w:b/>
          <w:bCs/>
        </w:rPr>
        <w:t>2</w:t>
      </w:r>
      <w:r>
        <w:rPr>
          <w:rFonts w:ascii="Calibri" w:hAnsi="Calibri" w:cs="Calibri"/>
          <w:b/>
          <w:bCs/>
        </w:rPr>
        <w:t xml:space="preserve"> – </w:t>
      </w:r>
      <w:r>
        <w:rPr>
          <w:rFonts w:ascii="Calibri" w:hAnsi="Calibri" w:cs="Calibri"/>
          <w:b/>
          <w:bCs/>
          <w:lang w:val="bg-BG"/>
        </w:rPr>
        <w:t xml:space="preserve">60 </w:t>
      </w:r>
      <w:r>
        <w:rPr>
          <w:rFonts w:ascii="Calibri" w:hAnsi="Calibri" w:cs="Calibri"/>
          <w:b/>
          <w:bCs/>
          <w:lang w:val="en-US"/>
        </w:rPr>
        <w:t>minutes</w:t>
      </w:r>
      <w:r>
        <w:rPr>
          <w:rFonts w:ascii="Calibri" w:hAnsi="Calibri" w:cs="Calibri"/>
          <w:b/>
          <w:bCs/>
        </w:rPr>
        <w:tab/>
      </w:r>
      <w:r>
        <w:rPr>
          <w:rFonts w:ascii="Calibri" w:hAnsi="Calibri" w:cs="Calibri"/>
          <w:b/>
          <w:bCs/>
        </w:rPr>
        <w:tab/>
        <w:t xml:space="preserve">    </w:t>
      </w:r>
    </w:p>
    <w:p w:rsidR="00257F47" w:rsidRPr="00F755AD" w:rsidRDefault="00257F47" w:rsidP="00257F47">
      <w:pPr>
        <w:rPr>
          <w:rFonts w:ascii="Calibri" w:hAnsi="Calibri" w:cs="Calibri"/>
          <w:b/>
          <w:bCs/>
          <w:lang w:val="en-US"/>
        </w:rPr>
      </w:pPr>
      <w:r>
        <w:rPr>
          <w:rFonts w:ascii="Calibri" w:hAnsi="Calibri" w:cs="Calibri"/>
          <w:b/>
          <w:bCs/>
        </w:rPr>
        <w:t xml:space="preserve">Topic 2: </w:t>
      </w:r>
      <w:r>
        <w:rPr>
          <w:rFonts w:ascii="Calibri" w:hAnsi="Calibri" w:cs="Calibri"/>
          <w:b/>
          <w:bCs/>
          <w:lang w:val="en-US"/>
        </w:rPr>
        <w:t xml:space="preserve">Types of Inequalities. </w:t>
      </w:r>
      <w:r w:rsidRPr="00257F47">
        <w:rPr>
          <w:rFonts w:ascii="Calibri" w:hAnsi="Calibri" w:cs="Calibri"/>
          <w:b/>
          <w:bCs/>
          <w:lang w:val="en-US"/>
        </w:rPr>
        <w:t>No superior, no inferior</w:t>
      </w:r>
      <w:r>
        <w:rPr>
          <w:rFonts w:ascii="Calibri" w:hAnsi="Calibri" w:cs="Calibri"/>
          <w:b/>
          <w:bCs/>
          <w:lang w:val="en-US"/>
        </w:rPr>
        <w:t>.</w:t>
      </w:r>
    </w:p>
    <w:p w:rsidR="00257F47" w:rsidRDefault="00257F47" w:rsidP="00257F47">
      <w:pPr>
        <w:rPr>
          <w:rFonts w:ascii="Calibri" w:hAnsi="Calibri" w:cs="Calibri"/>
          <w:b/>
          <w:bCs/>
          <w:lang w:val="en-US"/>
        </w:rPr>
      </w:pPr>
      <w:r w:rsidRPr="00F755AD">
        <w:rPr>
          <w:rFonts w:ascii="Calibri" w:hAnsi="Calibri" w:cs="Calibri"/>
          <w:b/>
          <w:bCs/>
          <w:lang w:val="en-US"/>
        </w:rPr>
        <w:t>Unit for students 11-18 years old</w:t>
      </w:r>
    </w:p>
    <w:p w:rsidR="00257F47" w:rsidRDefault="00257F47"/>
    <w:tbl>
      <w:tblPr>
        <w:tblW w:w="14639"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528"/>
        <w:gridCol w:w="4111"/>
      </w:tblGrid>
      <w:tr w:rsidR="00257F47" w:rsidRPr="00257F47" w:rsidTr="00484EEC">
        <w:trPr>
          <w:trHeight w:val="368"/>
        </w:trPr>
        <w:tc>
          <w:tcPr>
            <w:tcW w:w="10528" w:type="dxa"/>
            <w:tcBorders>
              <w:top w:val="single" w:sz="12" w:space="0" w:color="auto"/>
              <w:bottom w:val="single" w:sz="6" w:space="0" w:color="auto"/>
            </w:tcBorders>
            <w:shd w:val="clear" w:color="auto" w:fill="0070C0"/>
          </w:tcPr>
          <w:p w:rsidR="00257F47" w:rsidRPr="00257F47" w:rsidRDefault="00257F47" w:rsidP="00257F47">
            <w:pPr>
              <w:rPr>
                <w:b/>
                <w:bCs/>
              </w:rPr>
            </w:pPr>
            <w:r w:rsidRPr="00257F47">
              <w:rPr>
                <w:b/>
                <w:bCs/>
              </w:rPr>
              <w:t>Directed Teaching Tasks: including group and whole class activity</w:t>
            </w:r>
          </w:p>
        </w:tc>
        <w:tc>
          <w:tcPr>
            <w:tcW w:w="4111" w:type="dxa"/>
            <w:tcBorders>
              <w:top w:val="single" w:sz="12" w:space="0" w:color="auto"/>
              <w:bottom w:val="single" w:sz="6" w:space="0" w:color="auto"/>
            </w:tcBorders>
            <w:shd w:val="clear" w:color="auto" w:fill="0070C0"/>
          </w:tcPr>
          <w:p w:rsidR="00257F47" w:rsidRPr="00257F47" w:rsidRDefault="00257F47" w:rsidP="00257F47">
            <w:pPr>
              <w:rPr>
                <w:b/>
                <w:bCs/>
              </w:rPr>
            </w:pPr>
            <w:r w:rsidRPr="00257F47">
              <w:rPr>
                <w:b/>
                <w:bCs/>
              </w:rPr>
              <w:t>Teacher support notes</w:t>
            </w:r>
          </w:p>
        </w:tc>
      </w:tr>
      <w:tr w:rsidR="00257F47" w:rsidRPr="00257F47" w:rsidTr="00257F47">
        <w:trPr>
          <w:trHeight w:val="368"/>
        </w:trPr>
        <w:tc>
          <w:tcPr>
            <w:tcW w:w="10528" w:type="dxa"/>
            <w:tcBorders>
              <w:top w:val="single" w:sz="12" w:space="0" w:color="auto"/>
              <w:bottom w:val="single" w:sz="6" w:space="0" w:color="auto"/>
            </w:tcBorders>
          </w:tcPr>
          <w:p w:rsidR="00257F47" w:rsidRPr="00257F47" w:rsidRDefault="00257F47" w:rsidP="00257F47">
            <w:pPr>
              <w:rPr>
                <w:b/>
                <w:bCs/>
                <w:lang w:val="en-US"/>
              </w:rPr>
            </w:pPr>
            <w:r w:rsidRPr="00257F47">
              <w:rPr>
                <w:b/>
                <w:bCs/>
                <w:lang w:val="en-US"/>
              </w:rPr>
              <w:t xml:space="preserve">Big ideas </w:t>
            </w:r>
            <w:r w:rsidRPr="00257F47">
              <w:rPr>
                <w:b/>
                <w:bCs/>
                <w:color w:val="FF0000"/>
                <w:lang w:val="en-US"/>
              </w:rPr>
              <w:t xml:space="preserve">Inequality </w:t>
            </w:r>
          </w:p>
          <w:p w:rsidR="00257F47" w:rsidRPr="00257F47" w:rsidRDefault="00257F47" w:rsidP="00257F47">
            <w:r w:rsidRPr="00257F47">
              <w:t xml:space="preserve">Inequality is the state of not being equal, for example in terms of income or wealth. People with higher income will usually have better access to services and opportunities. They also have a lower chance of their basic human rights being violated. Whether an individual is born into a wealthy family or wealthy society is a matter of chance. In these Big Ideas we are focussing on economic and social inequality. (Of course many other types of inequality exist – e.g. in terms of gender, ability, sexuality, ethnicity). Globally there are a tiny number of super-rich people. “82% of the wealth created last year went to the richest one percent of the global population, while the 3.7 billion people who make up the poorest half of humanity got nothing”. (Oxfam 2018) </w:t>
            </w:r>
          </w:p>
          <w:p w:rsidR="00257F47" w:rsidRPr="00257F47" w:rsidRDefault="00257F47" w:rsidP="00257F47">
            <w:r w:rsidRPr="00257F47">
              <w:rPr>
                <w:b/>
                <w:i/>
              </w:rPr>
              <w:t>Income inequality</w:t>
            </w:r>
            <w:r w:rsidRPr="00257F47">
              <w:t xml:space="preserve"> can be measured between countries, identifying high-income countries and low-income countries. It can also be measured within countries. Currently inequality, in terms of income, is decreasing between nations. However, inequality within countries is on the increase – there is a widening gap between rich and poor</w:t>
            </w:r>
            <w:r w:rsidRPr="00257F47">
              <w:rPr>
                <w:vertAlign w:val="superscript"/>
              </w:rPr>
              <w:footnoteReference w:id="1"/>
            </w:r>
            <w:r w:rsidRPr="00257F47">
              <w:t xml:space="preserve">. Inequality can have a negative effect on both a person’s well-being and their life expectancy. </w:t>
            </w:r>
          </w:p>
          <w:p w:rsidR="00257F47" w:rsidRPr="00257F47" w:rsidRDefault="00257F47" w:rsidP="00257F47">
            <w:r w:rsidRPr="00257F47">
              <w:t>Countries may get richer and richer but still have lots of inequality (and poverty). In other words, economic growth alone (GDP</w:t>
            </w:r>
            <w:r w:rsidRPr="00257F47">
              <w:rPr>
                <w:vertAlign w:val="superscript"/>
              </w:rPr>
              <w:footnoteReference w:id="2"/>
            </w:r>
            <w:r w:rsidRPr="00257F47">
              <w:t>) doesn’t necessarily improve everyone’s lives. It depends on how the wealth is distributed. For example, the difference in Life Expectancy between rich and poor regions in the US is more than 20 years</w:t>
            </w:r>
            <w:r w:rsidRPr="00257F47">
              <w:rPr>
                <w:vertAlign w:val="superscript"/>
              </w:rPr>
              <w:footnoteReference w:id="3"/>
            </w:r>
            <w:r w:rsidRPr="00257F47">
              <w:t>.</w:t>
            </w:r>
          </w:p>
          <w:p w:rsidR="00257F47" w:rsidRPr="00257F47" w:rsidRDefault="00257F47" w:rsidP="00257F47">
            <w:r w:rsidRPr="00257F47">
              <w:t>The UN adopted the Human Development Index (HDI)</w:t>
            </w:r>
            <w:r w:rsidRPr="00257F47">
              <w:rPr>
                <w:vertAlign w:val="superscript"/>
              </w:rPr>
              <w:t xml:space="preserve"> </w:t>
            </w:r>
            <w:r w:rsidRPr="00257F47">
              <w:rPr>
                <w:vertAlign w:val="superscript"/>
              </w:rPr>
              <w:footnoteReference w:id="4"/>
            </w:r>
            <w:r w:rsidRPr="00257F47">
              <w:t xml:space="preserve"> to encourage countries to focus on people, rather than just economic growth. The HDI does this by measuring </w:t>
            </w:r>
            <w:r w:rsidRPr="00257F47">
              <w:rPr>
                <w:b/>
                <w:i/>
              </w:rPr>
              <w:t>health</w:t>
            </w:r>
            <w:r w:rsidRPr="00257F47">
              <w:t xml:space="preserve">, </w:t>
            </w:r>
            <w:r w:rsidRPr="00257F47">
              <w:rPr>
                <w:b/>
                <w:i/>
              </w:rPr>
              <w:t>education</w:t>
            </w:r>
            <w:r w:rsidRPr="00257F47">
              <w:t xml:space="preserve"> and </w:t>
            </w:r>
            <w:r w:rsidRPr="00257F47">
              <w:rPr>
                <w:b/>
                <w:i/>
              </w:rPr>
              <w:t>standard of living</w:t>
            </w:r>
            <w:r w:rsidRPr="00257F47">
              <w:t xml:space="preserve"> to </w:t>
            </w:r>
            <w:r w:rsidRPr="00257F47">
              <w:lastRenderedPageBreak/>
              <w:t>roughly indicate the ‘</w:t>
            </w:r>
            <w:r w:rsidRPr="00257F47">
              <w:rPr>
                <w:b/>
                <w:i/>
              </w:rPr>
              <w:t>well-being’</w:t>
            </w:r>
            <w:r w:rsidRPr="00257F47">
              <w:rPr>
                <w:vertAlign w:val="superscript"/>
              </w:rPr>
              <w:footnoteReference w:id="5"/>
            </w:r>
            <w:r w:rsidRPr="00257F47">
              <w:rPr>
                <w:b/>
                <w:i/>
              </w:rPr>
              <w:t xml:space="preserve"> </w:t>
            </w:r>
            <w:r w:rsidRPr="00257F47">
              <w:t xml:space="preserve">of ordinary people (or a country’s state of development). The HDI has shown that countries can do better for their people because of the choices their governments make e.g. by providing free public health and education for all. </w:t>
            </w:r>
          </w:p>
          <w:p w:rsidR="00257F47" w:rsidRPr="00257F47" w:rsidRDefault="00257F47" w:rsidP="00257F47"/>
          <w:p w:rsidR="00257F47" w:rsidRPr="00257F47" w:rsidRDefault="00257F47" w:rsidP="00257F47">
            <w:r w:rsidRPr="00257F47">
              <w:rPr>
                <w:b/>
                <w:color w:val="FF0000"/>
              </w:rPr>
              <w:t>Expected outcomes</w:t>
            </w:r>
            <w:r w:rsidRPr="00257F47">
              <w:t>: Students can explain what global inequality is. They can identify some current inequalities between and within countries. Students can explain the function of the HDI.</w:t>
            </w:r>
          </w:p>
        </w:tc>
        <w:tc>
          <w:tcPr>
            <w:tcW w:w="4111" w:type="dxa"/>
            <w:tcBorders>
              <w:top w:val="single" w:sz="12" w:space="0" w:color="auto"/>
              <w:bottom w:val="single" w:sz="6" w:space="0" w:color="auto"/>
            </w:tcBorders>
          </w:tcPr>
          <w:p w:rsidR="00257F47" w:rsidRPr="00257F47" w:rsidRDefault="00257F47" w:rsidP="00257F47">
            <w:pPr>
              <w:rPr>
                <w:b/>
              </w:rPr>
            </w:pPr>
            <w:r w:rsidRPr="00257F47">
              <w:rPr>
                <w:b/>
              </w:rPr>
              <w:lastRenderedPageBreak/>
              <w:t>Resources</w:t>
            </w:r>
          </w:p>
          <w:p w:rsidR="00257F47" w:rsidRPr="00257F47" w:rsidRDefault="00F7442C" w:rsidP="00257F47">
            <w:pPr>
              <w:rPr>
                <w:bCs/>
              </w:rPr>
            </w:pPr>
            <w:r>
              <w:rPr>
                <w:bCs/>
              </w:rPr>
              <w:t xml:space="preserve">Session </w:t>
            </w:r>
            <w:r w:rsidR="0082200B">
              <w:rPr>
                <w:bCs/>
              </w:rPr>
              <w:t xml:space="preserve">2 </w:t>
            </w:r>
            <w:r w:rsidR="00257F47" w:rsidRPr="00257F47">
              <w:rPr>
                <w:bCs/>
              </w:rPr>
              <w:t xml:space="preserve">PowerPoint Slides </w:t>
            </w:r>
          </w:p>
          <w:p w:rsidR="00257F47" w:rsidRPr="00257F47" w:rsidRDefault="00257F47" w:rsidP="00257F47">
            <w:pPr>
              <w:rPr>
                <w:b/>
                <w:bCs/>
              </w:rPr>
            </w:pPr>
          </w:p>
        </w:tc>
      </w:tr>
      <w:tr w:rsidR="00257F47" w:rsidRPr="00257F47" w:rsidTr="00257F47">
        <w:trPr>
          <w:trHeight w:val="1134"/>
        </w:trPr>
        <w:tc>
          <w:tcPr>
            <w:tcW w:w="10528" w:type="dxa"/>
            <w:tcBorders>
              <w:top w:val="single" w:sz="6" w:space="0" w:color="auto"/>
              <w:bottom w:val="single" w:sz="4" w:space="0" w:color="auto"/>
            </w:tcBorders>
          </w:tcPr>
          <w:p w:rsidR="00A57257" w:rsidRDefault="00A57257" w:rsidP="00257F47">
            <w:pPr>
              <w:rPr>
                <w:b/>
                <w:bCs/>
                <w:u w:val="single"/>
              </w:rPr>
            </w:pPr>
          </w:p>
          <w:p w:rsidR="00257F47" w:rsidRPr="00A57257" w:rsidRDefault="00257F47" w:rsidP="00257F47">
            <w:pPr>
              <w:rPr>
                <w:color w:val="FF0000"/>
                <w:lang w:val="en-US"/>
              </w:rPr>
            </w:pPr>
            <w:r w:rsidRPr="00257F47">
              <w:rPr>
                <w:b/>
                <w:bCs/>
                <w:u w:val="single"/>
              </w:rPr>
              <w:t>First Thoughts</w:t>
            </w:r>
            <w:r w:rsidRPr="00257F47">
              <w:rPr>
                <w:b/>
                <w:bCs/>
              </w:rPr>
              <w:t xml:space="preserve"> </w:t>
            </w:r>
            <w:r w:rsidRPr="00A57257">
              <w:rPr>
                <w:b/>
                <w:bCs/>
                <w:color w:val="FF0000"/>
              </w:rPr>
              <w:t xml:space="preserve">10 Minutes.  </w:t>
            </w:r>
            <w:r w:rsidRPr="00A57257">
              <w:rPr>
                <w:b/>
                <w:bCs/>
                <w:color w:val="FF0000"/>
              </w:rPr>
              <w:tab/>
              <w:t>Inequalities’ BINGO</w:t>
            </w:r>
            <w:r w:rsidRPr="00A57257">
              <w:rPr>
                <w:b/>
                <w:bCs/>
                <w:i/>
                <w:iCs/>
                <w:color w:val="FF0000"/>
              </w:rPr>
              <w:t>?</w:t>
            </w:r>
          </w:p>
          <w:p w:rsidR="00257F47" w:rsidRPr="00257F47" w:rsidRDefault="00257F47" w:rsidP="00257F47">
            <w:pPr>
              <w:rPr>
                <w:lang w:val="en-US"/>
              </w:rPr>
            </w:pPr>
            <w:r w:rsidRPr="00257F47">
              <w:rPr>
                <w:b/>
                <w:bCs/>
              </w:rPr>
              <w:t>T explain:</w:t>
            </w:r>
            <w:r w:rsidRPr="00257F47">
              <w:t xml:space="preserve"> Return to Session 1 theme of Equality. </w:t>
            </w:r>
            <w:r w:rsidRPr="00257F47">
              <w:rPr>
                <w:b/>
                <w:bCs/>
                <w:i/>
                <w:iCs/>
              </w:rPr>
              <w:t>What does it mean to be equal?</w:t>
            </w:r>
            <w:r w:rsidRPr="00257F47">
              <w:t xml:space="preserve"> What is the evidence? </w:t>
            </w:r>
          </w:p>
          <w:p w:rsidR="00257F47" w:rsidRPr="00257F47" w:rsidRDefault="00257F47" w:rsidP="00257F47">
            <w:pPr>
              <w:rPr>
                <w:lang w:val="en-US"/>
              </w:rPr>
            </w:pPr>
            <w:r w:rsidRPr="00257F47">
              <w:rPr>
                <w:b/>
                <w:bCs/>
              </w:rPr>
              <w:t>Activity:</w:t>
            </w:r>
          </w:p>
          <w:p w:rsidR="00257F47" w:rsidRPr="00257F47" w:rsidRDefault="00257F47" w:rsidP="00257F47">
            <w:pPr>
              <w:rPr>
                <w:lang w:val="en-US"/>
              </w:rPr>
            </w:pPr>
            <w:r w:rsidRPr="00257F47">
              <w:t xml:space="preserve">Play the </w:t>
            </w:r>
            <w:r w:rsidRPr="00257F47">
              <w:rPr>
                <w:b/>
                <w:bCs/>
              </w:rPr>
              <w:t>Inequalities’ BINGO</w:t>
            </w:r>
            <w:r w:rsidRPr="00257F47">
              <w:t xml:space="preserve">. </w:t>
            </w:r>
            <w:r w:rsidRPr="00257F47">
              <w:rPr>
                <w:b/>
                <w:bCs/>
              </w:rPr>
              <w:t>slide 5</w:t>
            </w:r>
          </w:p>
          <w:p w:rsidR="00257F47" w:rsidRPr="00257F47" w:rsidRDefault="00257F47" w:rsidP="00257F47"/>
          <w:p w:rsidR="00257F47" w:rsidRPr="00257F47" w:rsidRDefault="00257F47" w:rsidP="00257F47">
            <w:pPr>
              <w:rPr>
                <w:lang w:val="en-US"/>
              </w:rPr>
            </w:pPr>
          </w:p>
        </w:tc>
        <w:tc>
          <w:tcPr>
            <w:tcW w:w="4111" w:type="dxa"/>
            <w:tcBorders>
              <w:top w:val="single" w:sz="6" w:space="0" w:color="auto"/>
              <w:bottom w:val="single" w:sz="4" w:space="0" w:color="auto"/>
            </w:tcBorders>
          </w:tcPr>
          <w:p w:rsidR="00257F47" w:rsidRPr="00257F47" w:rsidRDefault="00257F47" w:rsidP="00257F47">
            <w:pPr>
              <w:rPr>
                <w:b/>
              </w:rPr>
            </w:pPr>
            <w:r w:rsidRPr="00257F47">
              <w:rPr>
                <w:b/>
              </w:rPr>
              <w:t>Resources</w:t>
            </w:r>
          </w:p>
          <w:p w:rsidR="00257F47" w:rsidRPr="00257F47" w:rsidRDefault="00257F47" w:rsidP="00257F47">
            <w:pPr>
              <w:rPr>
                <w:bCs/>
              </w:rPr>
            </w:pPr>
            <w:r w:rsidRPr="00257F47">
              <w:rPr>
                <w:bCs/>
              </w:rPr>
              <w:t xml:space="preserve">Session </w:t>
            </w:r>
            <w:r w:rsidR="0082200B">
              <w:rPr>
                <w:bCs/>
              </w:rPr>
              <w:t xml:space="preserve">2 </w:t>
            </w:r>
            <w:r w:rsidRPr="00257F47">
              <w:rPr>
                <w:bCs/>
              </w:rPr>
              <w:t xml:space="preserve">PowerPoint Slides </w:t>
            </w:r>
          </w:p>
          <w:p w:rsidR="00257F47" w:rsidRPr="00257F47" w:rsidRDefault="00257F47" w:rsidP="00257F47">
            <w:pPr>
              <w:rPr>
                <w:bCs/>
              </w:rPr>
            </w:pPr>
            <w:r>
              <w:rPr>
                <w:bCs/>
              </w:rPr>
              <w:t>2</w:t>
            </w:r>
            <w:r w:rsidRPr="00257F47">
              <w:rPr>
                <w:bCs/>
              </w:rPr>
              <w:t>.</w:t>
            </w:r>
            <w:r w:rsidR="0082200B">
              <w:rPr>
                <w:bCs/>
              </w:rPr>
              <w:t>1</w:t>
            </w:r>
            <w:r w:rsidRPr="00257F47">
              <w:rPr>
                <w:bCs/>
              </w:rPr>
              <w:t xml:space="preserve"> </w:t>
            </w:r>
            <w:r w:rsidR="00484EEC" w:rsidRPr="00257F47">
              <w:rPr>
                <w:bCs/>
              </w:rPr>
              <w:t>Hand-out</w:t>
            </w:r>
            <w:r w:rsidRPr="00257F47">
              <w:rPr>
                <w:bCs/>
              </w:rPr>
              <w:t xml:space="preserve"> 1 Inequalities’ BINGO (working sheet)</w:t>
            </w:r>
          </w:p>
          <w:p w:rsidR="00257F47" w:rsidRPr="00257F47" w:rsidRDefault="00257F47" w:rsidP="00257F47">
            <w:pPr>
              <w:rPr>
                <w:bCs/>
              </w:rPr>
            </w:pPr>
            <w:r>
              <w:rPr>
                <w:bCs/>
              </w:rPr>
              <w:t>2</w:t>
            </w:r>
            <w:r w:rsidR="0082200B">
              <w:rPr>
                <w:bCs/>
              </w:rPr>
              <w:t>.2</w:t>
            </w:r>
            <w:r w:rsidRPr="00257F47">
              <w:rPr>
                <w:bCs/>
              </w:rPr>
              <w:t xml:space="preserve"> </w:t>
            </w:r>
            <w:r w:rsidR="00484EEC" w:rsidRPr="00257F47">
              <w:rPr>
                <w:bCs/>
              </w:rPr>
              <w:t>Hand-out</w:t>
            </w:r>
            <w:r w:rsidRPr="00257F47">
              <w:rPr>
                <w:bCs/>
              </w:rPr>
              <w:t xml:space="preserve"> 2 Gender Equality Factsheet</w:t>
            </w:r>
          </w:p>
          <w:p w:rsidR="00257F47" w:rsidRPr="00257F47" w:rsidRDefault="00257F47" w:rsidP="00257F47">
            <w:pPr>
              <w:rPr>
                <w:bCs/>
              </w:rPr>
            </w:pPr>
            <w:r>
              <w:rPr>
                <w:bCs/>
              </w:rPr>
              <w:t>2</w:t>
            </w:r>
            <w:r w:rsidR="0082200B">
              <w:rPr>
                <w:bCs/>
              </w:rPr>
              <w:t>.3</w:t>
            </w:r>
            <w:r w:rsidRPr="00257F47">
              <w:rPr>
                <w:bCs/>
              </w:rPr>
              <w:t xml:space="preserve"> </w:t>
            </w:r>
            <w:r w:rsidR="00484EEC" w:rsidRPr="00257F47">
              <w:rPr>
                <w:bCs/>
              </w:rPr>
              <w:t>Hand-out</w:t>
            </w:r>
            <w:r w:rsidRPr="00257F47">
              <w:rPr>
                <w:bCs/>
              </w:rPr>
              <w:t xml:space="preserve"> 3 Age Equality Factsheet</w:t>
            </w:r>
          </w:p>
          <w:p w:rsidR="00257F47" w:rsidRPr="00257F47" w:rsidRDefault="00257F47" w:rsidP="00257F47">
            <w:pPr>
              <w:rPr>
                <w:bCs/>
              </w:rPr>
            </w:pPr>
            <w:r>
              <w:rPr>
                <w:bCs/>
              </w:rPr>
              <w:t>2</w:t>
            </w:r>
            <w:r w:rsidR="0082200B">
              <w:rPr>
                <w:bCs/>
              </w:rPr>
              <w:t>.4</w:t>
            </w:r>
            <w:r w:rsidRPr="00257F47">
              <w:rPr>
                <w:bCs/>
              </w:rPr>
              <w:t xml:space="preserve"> </w:t>
            </w:r>
            <w:r w:rsidR="00484EEC" w:rsidRPr="00257F47">
              <w:rPr>
                <w:bCs/>
              </w:rPr>
              <w:t>Hand-out</w:t>
            </w:r>
            <w:r w:rsidRPr="00257F47">
              <w:rPr>
                <w:bCs/>
              </w:rPr>
              <w:t xml:space="preserve"> 4 Ability Equality Factsheet</w:t>
            </w:r>
          </w:p>
          <w:p w:rsidR="00257F47" w:rsidRPr="00257F47" w:rsidRDefault="00257F47" w:rsidP="00257F47">
            <w:pPr>
              <w:rPr>
                <w:bCs/>
              </w:rPr>
            </w:pPr>
            <w:r>
              <w:rPr>
                <w:bCs/>
              </w:rPr>
              <w:t>2</w:t>
            </w:r>
            <w:r w:rsidR="0082200B">
              <w:rPr>
                <w:bCs/>
              </w:rPr>
              <w:t>.5</w:t>
            </w:r>
            <w:r w:rsidRPr="00257F47">
              <w:rPr>
                <w:bCs/>
              </w:rPr>
              <w:t xml:space="preserve"> </w:t>
            </w:r>
            <w:r w:rsidR="00484EEC" w:rsidRPr="00257F47">
              <w:rPr>
                <w:bCs/>
              </w:rPr>
              <w:t>Hand-out</w:t>
            </w:r>
            <w:r w:rsidRPr="00257F47">
              <w:rPr>
                <w:bCs/>
              </w:rPr>
              <w:t xml:space="preserve"> 5 Race Equality Factsheet</w:t>
            </w:r>
          </w:p>
          <w:p w:rsidR="00257F47" w:rsidRPr="00257F47" w:rsidRDefault="00257F47" w:rsidP="00484EEC">
            <w:pPr>
              <w:rPr>
                <w:b/>
                <w:bCs/>
              </w:rPr>
            </w:pPr>
            <w:r>
              <w:t>2</w:t>
            </w:r>
            <w:r w:rsidR="0082200B">
              <w:t>.6</w:t>
            </w:r>
            <w:r w:rsidRPr="00257F47">
              <w:t xml:space="preserve"> Green space Equality Factsheet</w:t>
            </w:r>
          </w:p>
        </w:tc>
      </w:tr>
      <w:tr w:rsidR="00257F47" w:rsidRPr="00257F47" w:rsidTr="00257F47">
        <w:trPr>
          <w:trHeight w:val="2717"/>
        </w:trPr>
        <w:tc>
          <w:tcPr>
            <w:tcW w:w="10528" w:type="dxa"/>
            <w:tcBorders>
              <w:top w:val="single" w:sz="4" w:space="0" w:color="auto"/>
              <w:bottom w:val="single" w:sz="4" w:space="0" w:color="auto"/>
            </w:tcBorders>
          </w:tcPr>
          <w:p w:rsidR="00257F47" w:rsidRPr="00A57257" w:rsidRDefault="00257F47" w:rsidP="00257F47">
            <w:pPr>
              <w:rPr>
                <w:color w:val="FF0000"/>
                <w:lang w:val="en-US"/>
              </w:rPr>
            </w:pPr>
            <w:r w:rsidRPr="00257F47">
              <w:rPr>
                <w:b/>
                <w:bCs/>
                <w:u w:val="single"/>
              </w:rPr>
              <w:t>Exploration and Consolidation</w:t>
            </w:r>
            <w:r w:rsidRPr="00257F47">
              <w:rPr>
                <w:b/>
                <w:bCs/>
              </w:rPr>
              <w:t xml:space="preserve"> </w:t>
            </w:r>
            <w:r w:rsidR="00484EEC" w:rsidRPr="00A57257">
              <w:rPr>
                <w:b/>
                <w:bCs/>
                <w:color w:val="FF0000"/>
              </w:rPr>
              <w:t>4</w:t>
            </w:r>
            <w:r w:rsidRPr="00A57257">
              <w:rPr>
                <w:b/>
                <w:bCs/>
                <w:color w:val="FF0000"/>
              </w:rPr>
              <w:t>0 minutes     Various types of inequalities</w:t>
            </w:r>
          </w:p>
          <w:p w:rsidR="00257F47" w:rsidRPr="00257F47" w:rsidRDefault="00257F47" w:rsidP="00257F47">
            <w:pPr>
              <w:rPr>
                <w:lang w:val="en-US"/>
              </w:rPr>
            </w:pPr>
            <w:r w:rsidRPr="00257F47">
              <w:t> </w:t>
            </w:r>
          </w:p>
          <w:p w:rsidR="00257F47" w:rsidRPr="00257F47" w:rsidRDefault="00257F47" w:rsidP="00257F47">
            <w:pPr>
              <w:rPr>
                <w:lang w:val="en-US"/>
              </w:rPr>
            </w:pPr>
            <w:r w:rsidRPr="00257F47">
              <w:rPr>
                <w:b/>
                <w:bCs/>
              </w:rPr>
              <w:t xml:space="preserve">Slides 7/8/9/10 Using the resources: Factsheets in the </w:t>
            </w:r>
            <w:r w:rsidR="00484EEC" w:rsidRPr="00257F47">
              <w:rPr>
                <w:b/>
                <w:bCs/>
              </w:rPr>
              <w:t>Hand-outs</w:t>
            </w:r>
            <w:r w:rsidRPr="00257F47">
              <w:t xml:space="preserve">, link to Sustainable Development Goals Target 10.1:  </w:t>
            </w:r>
            <w:r w:rsidRPr="00257F47">
              <w:rPr>
                <w:b/>
                <w:bCs/>
              </w:rPr>
              <w:t>‘</w:t>
            </w:r>
            <w:r w:rsidRPr="00257F47">
              <w:rPr>
                <w:b/>
                <w:bCs/>
                <w:lang w:val="en-US"/>
              </w:rPr>
              <w:t>By 2030, progressively achieve and sustain income growth of the bottom 40 per cent of the population at a rate higher than the national average</w:t>
            </w:r>
            <w:r w:rsidRPr="00257F47">
              <w:rPr>
                <w:b/>
                <w:bCs/>
              </w:rPr>
              <w:t>’.</w:t>
            </w:r>
          </w:p>
          <w:p w:rsidR="00257F47" w:rsidRPr="00257F47" w:rsidRDefault="00257F47" w:rsidP="00257F47">
            <w:pPr>
              <w:rPr>
                <w:lang w:val="en-US"/>
              </w:rPr>
            </w:pPr>
            <w:r w:rsidRPr="00257F47">
              <w:rPr>
                <w:b/>
                <w:bCs/>
              </w:rPr>
              <w:t xml:space="preserve">Discuss in a </w:t>
            </w:r>
            <w:r w:rsidRPr="00257F47">
              <w:t>group the questions:</w:t>
            </w:r>
          </w:p>
          <w:p w:rsidR="00257F47" w:rsidRPr="00257F47" w:rsidRDefault="00257F47" w:rsidP="00257F47">
            <w:pPr>
              <w:rPr>
                <w:lang w:val="en-US"/>
              </w:rPr>
            </w:pPr>
            <w:r w:rsidRPr="00257F47">
              <w:t xml:space="preserve">Which inequalities are the most important, do you think? </w:t>
            </w:r>
          </w:p>
          <w:p w:rsidR="00257F47" w:rsidRPr="00257F47" w:rsidRDefault="00257F47" w:rsidP="00257F47">
            <w:r w:rsidRPr="00257F47">
              <w:t xml:space="preserve">Why are they more important ones? </w:t>
            </w:r>
          </w:p>
        </w:tc>
        <w:tc>
          <w:tcPr>
            <w:tcW w:w="4111" w:type="dxa"/>
            <w:tcBorders>
              <w:top w:val="single" w:sz="4" w:space="0" w:color="auto"/>
              <w:bottom w:val="single" w:sz="4" w:space="0" w:color="auto"/>
            </w:tcBorders>
          </w:tcPr>
          <w:p w:rsidR="00257F47" w:rsidRPr="00257F47" w:rsidRDefault="00257F47" w:rsidP="00257F47">
            <w:pPr>
              <w:rPr>
                <w:b/>
              </w:rPr>
            </w:pPr>
            <w:r w:rsidRPr="00257F47">
              <w:rPr>
                <w:b/>
              </w:rPr>
              <w:t>Resources</w:t>
            </w:r>
          </w:p>
          <w:p w:rsidR="00257F47" w:rsidRPr="00257F47" w:rsidRDefault="00257F47" w:rsidP="00257F47">
            <w:r w:rsidRPr="00257F47">
              <w:rPr>
                <w:b/>
              </w:rPr>
              <w:t xml:space="preserve"> Session 2</w:t>
            </w:r>
            <w:r w:rsidRPr="00257F47">
              <w:t xml:space="preserve"> </w:t>
            </w:r>
            <w:r w:rsidRPr="00257F47">
              <w:rPr>
                <w:b/>
              </w:rPr>
              <w:t xml:space="preserve">PowerPoint </w:t>
            </w:r>
          </w:p>
          <w:p w:rsidR="00257F47" w:rsidRPr="00257F47" w:rsidRDefault="00257F47" w:rsidP="00257F47">
            <w:pPr>
              <w:numPr>
                <w:ilvl w:val="0"/>
                <w:numId w:val="1"/>
              </w:numPr>
            </w:pPr>
            <w:r w:rsidRPr="00257F47">
              <w:t>Working wall / Board, post its, to gather ideas</w:t>
            </w:r>
          </w:p>
          <w:p w:rsidR="00257F47" w:rsidRPr="00257F47" w:rsidRDefault="00257F47" w:rsidP="00257F47"/>
        </w:tc>
      </w:tr>
      <w:tr w:rsidR="00257F47" w:rsidRPr="00257F47" w:rsidTr="00257F47">
        <w:trPr>
          <w:trHeight w:val="1182"/>
        </w:trPr>
        <w:tc>
          <w:tcPr>
            <w:tcW w:w="10528" w:type="dxa"/>
            <w:tcBorders>
              <w:top w:val="single" w:sz="4" w:space="0" w:color="auto"/>
              <w:bottom w:val="single" w:sz="4" w:space="0" w:color="auto"/>
              <w:right w:val="single" w:sz="4" w:space="0" w:color="auto"/>
            </w:tcBorders>
          </w:tcPr>
          <w:p w:rsidR="00257F47" w:rsidRPr="00A57257" w:rsidRDefault="00257F47" w:rsidP="00257F47">
            <w:pPr>
              <w:rPr>
                <w:color w:val="FF0000"/>
              </w:rPr>
            </w:pPr>
            <w:r w:rsidRPr="00257F47">
              <w:rPr>
                <w:b/>
                <w:bCs/>
                <w:u w:val="single"/>
              </w:rPr>
              <w:lastRenderedPageBreak/>
              <w:t>Conclusion and Reflection</w:t>
            </w:r>
            <w:r w:rsidR="00484EEC">
              <w:rPr>
                <w:b/>
                <w:bCs/>
              </w:rPr>
              <w:t xml:space="preserve"> </w:t>
            </w:r>
            <w:r w:rsidR="00484EEC" w:rsidRPr="00A57257">
              <w:rPr>
                <w:b/>
                <w:bCs/>
                <w:color w:val="FF0000"/>
              </w:rPr>
              <w:t>10</w:t>
            </w:r>
            <w:r w:rsidRPr="00A57257">
              <w:rPr>
                <w:b/>
                <w:bCs/>
                <w:color w:val="FF0000"/>
              </w:rPr>
              <w:t xml:space="preserve"> minutes  </w:t>
            </w:r>
            <w:r w:rsidRPr="00A57257">
              <w:rPr>
                <w:b/>
                <w:bCs/>
                <w:color w:val="FF0000"/>
              </w:rPr>
              <w:tab/>
            </w:r>
            <w:r w:rsidRPr="00A57257">
              <w:rPr>
                <w:b/>
                <w:bCs/>
                <w:i/>
                <w:color w:val="FF0000"/>
              </w:rPr>
              <w:t>Thinking point</w:t>
            </w:r>
            <w:bookmarkStart w:id="0" w:name="_GoBack"/>
            <w:bookmarkEnd w:id="0"/>
          </w:p>
          <w:p w:rsidR="00257F47" w:rsidRPr="00257F47" w:rsidRDefault="00257F47" w:rsidP="00257F47">
            <w:r w:rsidRPr="00257F47">
              <w:t xml:space="preserve">Reflect on all the ways that we know we belong – to school, to our groups of friends, to our family and carers, to our local community (such as our previous primary school) and to our country. </w:t>
            </w:r>
          </w:p>
          <w:p w:rsidR="00257F47" w:rsidRPr="00257F47" w:rsidRDefault="00257F47" w:rsidP="00257F47">
            <w:r w:rsidRPr="00257F47">
              <w:t>These all help to create a sense of identify and safety – secure that we can get help such as health care, education, money; and no one can make us leave because we ‘do not belong to this country’.</w:t>
            </w:r>
          </w:p>
        </w:tc>
        <w:tc>
          <w:tcPr>
            <w:tcW w:w="4111" w:type="dxa"/>
            <w:tcBorders>
              <w:top w:val="single" w:sz="4" w:space="0" w:color="auto"/>
              <w:left w:val="single" w:sz="4" w:space="0" w:color="auto"/>
              <w:bottom w:val="single" w:sz="4" w:space="0" w:color="auto"/>
            </w:tcBorders>
          </w:tcPr>
          <w:p w:rsidR="00257F47" w:rsidRPr="00257F47" w:rsidRDefault="00257F47" w:rsidP="00257F47">
            <w:pPr>
              <w:rPr>
                <w:b/>
              </w:rPr>
            </w:pPr>
          </w:p>
          <w:p w:rsidR="00257F47" w:rsidRPr="00257F47" w:rsidRDefault="00257F47" w:rsidP="00257F47">
            <w:pPr>
              <w:rPr>
                <w:b/>
              </w:rPr>
            </w:pPr>
          </w:p>
        </w:tc>
      </w:tr>
    </w:tbl>
    <w:p w:rsidR="00257F47" w:rsidRDefault="00257F47"/>
    <w:sectPr w:rsidR="00257F47" w:rsidSect="00257F47">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F47" w:rsidRDefault="00257F47" w:rsidP="00257F47">
      <w:r>
        <w:separator/>
      </w:r>
    </w:p>
  </w:endnote>
  <w:endnote w:type="continuationSeparator" w:id="0">
    <w:p w:rsidR="00257F47" w:rsidRDefault="00257F47" w:rsidP="00257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badi MT Condensed Light">
    <w:altName w:val="MV Boli"/>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F47" w:rsidRDefault="00257F47" w:rsidP="00257F47">
      <w:r>
        <w:separator/>
      </w:r>
    </w:p>
  </w:footnote>
  <w:footnote w:type="continuationSeparator" w:id="0">
    <w:p w:rsidR="00257F47" w:rsidRDefault="00257F47" w:rsidP="00257F47">
      <w:r>
        <w:continuationSeparator/>
      </w:r>
    </w:p>
  </w:footnote>
  <w:footnote w:id="1">
    <w:p w:rsidR="00257F47" w:rsidRPr="00D666B1" w:rsidRDefault="00257F47" w:rsidP="00257F47">
      <w:pPr>
        <w:pStyle w:val="FootnoteText"/>
        <w:rPr>
          <w:sz w:val="18"/>
          <w:szCs w:val="18"/>
          <w:lang w:val="en-GB"/>
        </w:rPr>
      </w:pPr>
      <w:r w:rsidRPr="00D666B1">
        <w:rPr>
          <w:rStyle w:val="FootnoteReference"/>
          <w:sz w:val="18"/>
          <w:szCs w:val="18"/>
        </w:rPr>
        <w:footnoteRef/>
      </w:r>
      <w:r w:rsidRPr="00D666B1">
        <w:rPr>
          <w:sz w:val="18"/>
          <w:szCs w:val="18"/>
          <w:lang w:val="en-GB"/>
        </w:rPr>
        <w:t xml:space="preserve"> https://www.brookings. </w:t>
      </w:r>
      <w:proofErr w:type="spellStart"/>
      <w:r w:rsidRPr="00D666B1">
        <w:rPr>
          <w:sz w:val="18"/>
          <w:szCs w:val="18"/>
          <w:lang w:val="en-GB"/>
        </w:rPr>
        <w:t>edu</w:t>
      </w:r>
      <w:proofErr w:type="spellEnd"/>
      <w:r w:rsidRPr="00D666B1">
        <w:rPr>
          <w:sz w:val="18"/>
          <w:szCs w:val="18"/>
          <w:lang w:val="en-GB"/>
        </w:rPr>
        <w:t>/</w:t>
      </w:r>
      <w:proofErr w:type="spellStart"/>
      <w:r w:rsidRPr="00D666B1">
        <w:rPr>
          <w:sz w:val="18"/>
          <w:szCs w:val="18"/>
          <w:lang w:val="en-GB"/>
        </w:rPr>
        <w:t>wp</w:t>
      </w:r>
      <w:proofErr w:type="spellEnd"/>
      <w:r w:rsidRPr="00D666B1">
        <w:rPr>
          <w:sz w:val="18"/>
          <w:szCs w:val="18"/>
          <w:lang w:val="en-GB"/>
        </w:rPr>
        <w:t>-content/ uploads/2017/12/globalinequality.pdf</w:t>
      </w:r>
    </w:p>
  </w:footnote>
  <w:footnote w:id="2">
    <w:p w:rsidR="00257F47" w:rsidRPr="00D666B1" w:rsidRDefault="00257F47" w:rsidP="00257F47">
      <w:pPr>
        <w:jc w:val="both"/>
        <w:rPr>
          <w:sz w:val="18"/>
          <w:szCs w:val="18"/>
          <w:highlight w:val="yellow"/>
        </w:rPr>
      </w:pPr>
      <w:r w:rsidRPr="00D666B1">
        <w:rPr>
          <w:rStyle w:val="FootnoteReference"/>
          <w:sz w:val="18"/>
          <w:szCs w:val="18"/>
        </w:rPr>
        <w:footnoteRef/>
      </w:r>
      <w:r w:rsidRPr="00D666B1">
        <w:rPr>
          <w:sz w:val="18"/>
          <w:szCs w:val="18"/>
        </w:rPr>
        <w:t xml:space="preserve"> GDP = Gross Domestic Product. Governments </w:t>
      </w:r>
      <w:r w:rsidRPr="002E390D">
        <w:rPr>
          <w:rFonts w:cs="Calibri"/>
          <w:color w:val="000000"/>
          <w:sz w:val="18"/>
          <w:szCs w:val="18"/>
        </w:rPr>
        <w:t>often use this economic indicator to measure growth.</w:t>
      </w:r>
    </w:p>
  </w:footnote>
  <w:footnote w:id="3">
    <w:p w:rsidR="00257F47" w:rsidRPr="0035631C" w:rsidRDefault="00257F47" w:rsidP="00257F47">
      <w:pPr>
        <w:pStyle w:val="FootnoteText"/>
        <w:rPr>
          <w:sz w:val="18"/>
          <w:szCs w:val="18"/>
          <w:lang w:val="en-GB"/>
        </w:rPr>
      </w:pPr>
      <w:r w:rsidRPr="00D666B1">
        <w:rPr>
          <w:rStyle w:val="FootnoteReference"/>
          <w:sz w:val="18"/>
          <w:szCs w:val="18"/>
        </w:rPr>
        <w:footnoteRef/>
      </w:r>
      <w:r w:rsidRPr="00D666B1">
        <w:rPr>
          <w:sz w:val="18"/>
          <w:szCs w:val="18"/>
          <w:lang w:val="en-GB"/>
        </w:rPr>
        <w:t xml:space="preserve"> https://www.theguardian. com/inequality/2017/ may/08/life-expectancygap-rich-poor-us-</w:t>
      </w:r>
      <w:r w:rsidRPr="0035631C">
        <w:rPr>
          <w:sz w:val="18"/>
          <w:szCs w:val="18"/>
          <w:lang w:val="en-GB"/>
        </w:rPr>
        <w:t xml:space="preserve">regionsmore-than-20-years </w:t>
      </w:r>
    </w:p>
  </w:footnote>
  <w:footnote w:id="4">
    <w:p w:rsidR="00257F47" w:rsidRPr="0035631C" w:rsidRDefault="00257F47" w:rsidP="00257F47">
      <w:pPr>
        <w:pStyle w:val="FootnoteText"/>
        <w:rPr>
          <w:lang w:val="en-GB"/>
        </w:rPr>
      </w:pPr>
      <w:r w:rsidRPr="0035631C">
        <w:rPr>
          <w:rStyle w:val="FootnoteReference"/>
        </w:rPr>
        <w:footnoteRef/>
      </w:r>
      <w:r w:rsidRPr="0035631C">
        <w:t xml:space="preserve"> </w:t>
      </w:r>
      <w:hyperlink r:id="rId1" w:history="1">
        <w:r w:rsidRPr="0035631C">
          <w:rPr>
            <w:rStyle w:val="Hyperlink"/>
            <w:rFonts w:cs="Calibri"/>
            <w:sz w:val="18"/>
            <w:szCs w:val="18"/>
          </w:rPr>
          <w:t>http://hdr.undp.org/en/content/human-development-index-hdi</w:t>
        </w:r>
      </w:hyperlink>
    </w:p>
  </w:footnote>
  <w:footnote w:id="5">
    <w:p w:rsidR="00257F47" w:rsidRPr="0052194A" w:rsidRDefault="00257F47" w:rsidP="00257F47">
      <w:pPr>
        <w:pStyle w:val="FootnoteText"/>
        <w:rPr>
          <w:sz w:val="18"/>
          <w:szCs w:val="18"/>
          <w:lang w:val="en-GB"/>
        </w:rPr>
      </w:pPr>
      <w:r w:rsidRPr="0035631C">
        <w:rPr>
          <w:rStyle w:val="FootnoteReference"/>
          <w:sz w:val="18"/>
          <w:szCs w:val="18"/>
        </w:rPr>
        <w:footnoteRef/>
      </w:r>
      <w:r w:rsidRPr="0035631C">
        <w:rPr>
          <w:sz w:val="18"/>
          <w:szCs w:val="18"/>
        </w:rPr>
        <w:t xml:space="preserve"> </w:t>
      </w:r>
      <w:hyperlink r:id="rId2" w:history="1">
        <w:r w:rsidRPr="0035631C">
          <w:rPr>
            <w:rStyle w:val="Hyperlink"/>
            <w:sz w:val="18"/>
            <w:szCs w:val="18"/>
          </w:rPr>
          <w:t>http://hdr.undp.org/en/hdi-what-it-is</w:t>
        </w:r>
      </w:hyperlink>
      <w:r w:rsidRPr="0035631C">
        <w:rPr>
          <w:sz w:val="18"/>
          <w:szCs w:val="18"/>
        </w:rPr>
        <w:t xml:space="preserve"> : “</w:t>
      </w:r>
      <w:r w:rsidRPr="0035631C">
        <w:rPr>
          <w:rFonts w:cs="Arial"/>
          <w:color w:val="000000"/>
          <w:sz w:val="18"/>
          <w:szCs w:val="18"/>
          <w:shd w:val="clear" w:color="auto" w:fill="F4F4F4"/>
        </w:rPr>
        <w:t>Measuring human well-being”.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F47" w:rsidRDefault="00257F47">
    <w:pPr>
      <w:pStyle w:val="Header"/>
    </w:pPr>
    <w:r>
      <w:rPr>
        <w:noProof/>
        <w:lang w:val="bg-BG" w:eastAsia="bg-BG"/>
      </w:rPr>
      <w:drawing>
        <wp:inline distT="0" distB="0" distL="0" distR="0" wp14:anchorId="4803AA90">
          <wp:extent cx="1383665" cy="487680"/>
          <wp:effectExtent l="0" t="0" r="698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3665" cy="48768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A8068D"/>
    <w:multiLevelType w:val="hybridMultilevel"/>
    <w:tmpl w:val="868883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F47"/>
    <w:rsid w:val="00257F47"/>
    <w:rsid w:val="00261903"/>
    <w:rsid w:val="00484EEC"/>
    <w:rsid w:val="005C6A26"/>
    <w:rsid w:val="007B02ED"/>
    <w:rsid w:val="0082200B"/>
    <w:rsid w:val="00A57257"/>
    <w:rsid w:val="00F7442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49FE13E8-1769-4FCE-9890-E08404E43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F47"/>
    <w:pPr>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qFormat/>
    <w:rsid w:val="00257F47"/>
    <w:pPr>
      <w:keepNext/>
      <w:outlineLvl w:val="1"/>
    </w:pPr>
    <w:rPr>
      <w:b/>
      <w:bCs/>
      <w:sz w:val="20"/>
    </w:rPr>
  </w:style>
  <w:style w:type="paragraph" w:styleId="Heading7">
    <w:name w:val="heading 7"/>
    <w:basedOn w:val="Normal"/>
    <w:next w:val="Normal"/>
    <w:link w:val="Heading7Char"/>
    <w:qFormat/>
    <w:rsid w:val="00257F4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7F47"/>
    <w:pPr>
      <w:tabs>
        <w:tab w:val="center" w:pos="4536"/>
        <w:tab w:val="right" w:pos="9072"/>
      </w:tabs>
    </w:pPr>
  </w:style>
  <w:style w:type="character" w:customStyle="1" w:styleId="HeaderChar">
    <w:name w:val="Header Char"/>
    <w:basedOn w:val="DefaultParagraphFont"/>
    <w:link w:val="Header"/>
    <w:uiPriority w:val="99"/>
    <w:rsid w:val="00257F47"/>
  </w:style>
  <w:style w:type="paragraph" w:styleId="Footer">
    <w:name w:val="footer"/>
    <w:basedOn w:val="Normal"/>
    <w:link w:val="FooterChar"/>
    <w:uiPriority w:val="99"/>
    <w:unhideWhenUsed/>
    <w:rsid w:val="00257F47"/>
    <w:pPr>
      <w:tabs>
        <w:tab w:val="center" w:pos="4536"/>
        <w:tab w:val="right" w:pos="9072"/>
      </w:tabs>
    </w:pPr>
  </w:style>
  <w:style w:type="character" w:customStyle="1" w:styleId="FooterChar">
    <w:name w:val="Footer Char"/>
    <w:basedOn w:val="DefaultParagraphFont"/>
    <w:link w:val="Footer"/>
    <w:uiPriority w:val="99"/>
    <w:rsid w:val="00257F47"/>
  </w:style>
  <w:style w:type="character" w:styleId="Hyperlink">
    <w:name w:val="Hyperlink"/>
    <w:rsid w:val="00257F47"/>
    <w:rPr>
      <w:color w:val="0000FF"/>
      <w:u w:val="single"/>
    </w:rPr>
  </w:style>
  <w:style w:type="paragraph" w:styleId="FootnoteText">
    <w:name w:val="footnote text"/>
    <w:basedOn w:val="Normal"/>
    <w:link w:val="FootnoteTextChar"/>
    <w:uiPriority w:val="99"/>
    <w:unhideWhenUsed/>
    <w:rsid w:val="00257F47"/>
    <w:rPr>
      <w:rFonts w:ascii="Calibri" w:eastAsia="Calibri" w:hAnsi="Calibri"/>
      <w:sz w:val="20"/>
      <w:szCs w:val="20"/>
      <w:lang w:val="it-IT"/>
    </w:rPr>
  </w:style>
  <w:style w:type="character" w:customStyle="1" w:styleId="FootnoteTextChar">
    <w:name w:val="Footnote Text Char"/>
    <w:basedOn w:val="DefaultParagraphFont"/>
    <w:link w:val="FootnoteText"/>
    <w:uiPriority w:val="99"/>
    <w:rsid w:val="00257F47"/>
    <w:rPr>
      <w:rFonts w:ascii="Calibri" w:eastAsia="Calibri" w:hAnsi="Calibri" w:cs="Times New Roman"/>
      <w:sz w:val="20"/>
      <w:szCs w:val="20"/>
      <w:lang w:val="it-IT"/>
    </w:rPr>
  </w:style>
  <w:style w:type="character" w:styleId="FootnoteReference">
    <w:name w:val="footnote reference"/>
    <w:uiPriority w:val="99"/>
    <w:unhideWhenUsed/>
    <w:rsid w:val="00257F47"/>
    <w:rPr>
      <w:vertAlign w:val="superscript"/>
    </w:rPr>
  </w:style>
  <w:style w:type="character" w:customStyle="1" w:styleId="Heading2Char">
    <w:name w:val="Heading 2 Char"/>
    <w:basedOn w:val="DefaultParagraphFont"/>
    <w:link w:val="Heading2"/>
    <w:rsid w:val="00257F47"/>
    <w:rPr>
      <w:rFonts w:ascii="Times New Roman" w:eastAsia="Times New Roman" w:hAnsi="Times New Roman" w:cs="Times New Roman"/>
      <w:b/>
      <w:bCs/>
      <w:sz w:val="20"/>
      <w:szCs w:val="24"/>
      <w:lang w:val="en-GB"/>
    </w:rPr>
  </w:style>
  <w:style w:type="character" w:customStyle="1" w:styleId="Heading7Char">
    <w:name w:val="Heading 7 Char"/>
    <w:basedOn w:val="DefaultParagraphFont"/>
    <w:link w:val="Heading7"/>
    <w:rsid w:val="00257F47"/>
    <w:rPr>
      <w:rFonts w:ascii="Abadi MT Condensed Light" w:eastAsia="Times New Roman" w:hAnsi="Abadi MT Condensed Light" w:cs="Times New Roman"/>
      <w:b/>
      <w:bCs/>
      <w:sz w:val="16"/>
      <w:szCs w:val="1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hdr.undp.org/en/hdi-what-it-is" TargetMode="External"/><Relationship Id="rId1" Type="http://schemas.openxmlformats.org/officeDocument/2006/relationships/hyperlink" Target="http://hdr.undp.org/en/content/human-development-index-hd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82092-8879-41EA-A6DD-5ECA14EA9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590</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Argi Silistra</dc:creator>
  <cp:keywords/>
  <dc:description/>
  <cp:lastModifiedBy>Argi Silistra</cp:lastModifiedBy>
  <cp:revision>5</cp:revision>
  <dcterms:created xsi:type="dcterms:W3CDTF">2020-07-01T10:15:00Z</dcterms:created>
  <dcterms:modified xsi:type="dcterms:W3CDTF">2020-07-01T10:54:00Z</dcterms:modified>
</cp:coreProperties>
</file>